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45</w:t>
      </w:r>
    </w:p>
    <w:p>
      <w:r>
        <w:t>Bundesgericht (BGE), 1987-03-16, DE</w:t>
      </w:r>
    </w:p>
    <w:p>
      <w:r>
        <w:rPr>
          <w:b/>
        </w:rPr>
        <w:t xml:space="preserve">Quelle: </w:t>
      </w:r>
      <w:r>
        <w:t>https://mcp.opencaselaw.ch/entscheid/bge_113 IV 45</w:t>
      </w:r>
    </w:p>
    <w:p>
      <w:r>
        <w:t>FR: ATF 113 IV 45</w:t>
      </w:r>
    </w:p>
    <w:p>
      <w:r>
        <w:t>IT: DTF 113 IV 45</w:t>
      </w:r>
    </w:p>
    <w:p>
      <w:pPr>
        <w:pStyle w:val="Heading2"/>
      </w:pPr>
      <w:r>
        <w:t>Regeste</w:t>
      </w:r>
    </w:p>
    <w:p>
      <w:r>
        <w:t>Regeste Art. 269 BStP, Art. 90 OG. Werden zwei identische Rechtsschriften einmal als staatsrechtliche Beschwerde und einmal als eidgenössische Nichtigkeitsbeschwerde beim Bundesgericht eingereicht, in welchen kunterbunt die Verletzung eidgenössischen Rechts sowie verfassungsmässiger Rechte gerügt wird, kann auf beide Rechtsmittel nicht eingetreten werden.</w:t>
      </w:r>
    </w:p>
    <w:p>
      <w:pPr>
        <w:pStyle w:val="Heading2"/>
      </w:pPr>
      <w:r>
        <w:t>Erwägungen</w:t>
      </w:r>
    </w:p>
    <w:p>
      <w:r>
        <w:rPr>
          <w:b/>
        </w:rPr>
        <w:t>E. 1</w:t>
      </w:r>
    </w:p>
    <w:p>
      <w:r>
        <w:t>Der Beschwerdeführer wurde durch das Obergericht des Kantons Aargau am 13. November 1986 wegen verschiedener Vermögens- und Urkundendelikte zu 16 Monaten Gefängnis (bedingt) verurteilt. Dagegen erhob er in getrennten Eingaben sowohl staatsrechtliche Beschwerde als auch eidgenössische Nichtigkeitsbeschwerde. Es fällt auf, dass er formell zwar zwei verschieden betitelte Rechtsschriften einreichte, diese jedoch (abgesehen vom Deckblatt und einer fehlerhaften Paginierung der staatsrechtlichen Beschwerde) völlig identisch sind. Im übrigen werden laufend Rügen, die mit einer staatsrechtlichen Beschwerde zu erheben sind, BGE 113 IV 45 S. 46 mit solchen vermischt, die mit Nichtigkeitsbeschwerde vorgetragen werden müssen.</w:t>
      </w:r>
    </w:p>
    <w:p>
      <w:r>
        <w:rPr>
          <w:b/>
        </w:rPr>
        <w:t>E. 2</w:t>
      </w:r>
    </w:p>
    <w:p>
      <w:r>
        <w:t>Nach ständiger Rechtsprechung dürfen die staatsrechtliche Beschwerde und die eidgenössische Nichtigkeitsbeschwerde nicht in ein und derselben Eingabe vereinigt werden, sondern ist jede getrennt zu erheben und in einer besonderen Eingabe zu begründen; eine Ausnahme von diesem Erfordernis wird nur dann gemacht, wenn die verschiedenen Rechtsmittel äusserlich klar auseinandergehalten werden ( BGE 104 IV 70 , BGE 101 IV 248 mit Hinweisen). Die Verbindung von Nichtigkeitsbeschwerde und staatsrechtlicher Beschwerde ist somit nur zulässig, wenn die beiden Rechtsmittel nicht vermengt werden, sondern für jede Beschwerde gesondert und abschliessend dargelegt wird, was mit ihr vorgebracht werden will ( BGE 101 IV 248 ). a) Das Vorgehen des Beschwerdeführers muss als unzulässige Umgebung dieser Rechtsprechung qualifiziert werden. Es geht nicht an, die klare bundesgerichtliche Praxis unterlaufen zu wollen, indem man einen einzigen Schriftsatz erstellt, in diesem kunterbunt die Verletzung eidgenössischen Rechts sowie verfassungsmässiger Rechte rügt, die Rechtsschrift kopiert und mit zwei verschiedenen Deckblättern versehen einmal als staatsrechtliche Beschwerde und einmal als Nichtigkeitsbeschwerde beim Bundesgericht einreicht. b) Es stellt sich die Frage, ob die Eingabe als Nichtigkeitsbeschwerde entgegenzunehmen und auf die subsidiäre staatsrechtliche Beschwerde nicht einzutreten ist (vgl. BGE 101 IV 248 /249). Die publizierte bundesgerichtliche Rechtsprechung hat sich mit Fällen der vorliegenden Art bisher noch nicht befasst. Der erste Entscheid erging im Jahre 1937, als die Zivilabteilungen die mit einer Berufung konnexen staatsrechtlichen Beschwerden übernahmen, was - nach den damaligen Ausführungen des Bundesgerichts - an der Selbständigkeit der beiden Rechtsmittel und am Erfordernis getrennter Eingaben nichts ändere ( BGE 63 II 38 ). Dieser Ansicht schloss sich der Kassationshof am 13. März 1942 in bezug auf die Nichtigkeitsbeschwerde an ( BGE 68 IV 10 ). Am 30. Januar 1963 hatte der Kassationshof eine Eingabe zu behandeln, bei welcher die Begründung (der zuvor rechtzeitig angemeldeten) Nichtigkeitsbeschwerde gleichzeitig eine staatsrechtliche Beschwerde enthielt, ohne dass die beiden Rechtsmittel auseinandergehalten und getrennt voneinander behandelt wurden; es wurde festgestellt, auf die staatsrechtliche Beschwerde, die im Verhältnis zur Nichtigkeitsbeschwerde subsidiär und die überdies BGE 113 IV 45 S. 47 nur in zweiter Linie erhoben worden sei, könne nicht eingetreten werden ( BGE 89 IV 27 ). Einen ähnlichen Fall betraf BGE 101 IV 248 ; hier wurde die Rechtsschrift zwar ausdrücklich als Nichtigkeitsbeschwerde bezeichnet, sie rügte jedoch in der Anmeldung und in der Begründung sowohl die Verletzung von Bundesstrafrecht als auch die Verletzung von Art. 4 BV ; erneut wurde auf die subsidiäre staatsrechtliche Beschwerde nicht eingetreten. Schliesslich wollten die Beschwerdeführerinnen in BGE 104 IV 70 die Natur des von ihnen erhobenen Rechtsmittels von der Frage ihrer Legitimation abhängig machen; auch hier wurde unter Hinweis auf den subsidiären Charakter der staatsrechtlichen Beschwerde bloss die angebliche Verletzung von Bundesstrafrecht geprüft. Bei der bisher veröffentlichten Praxis hatte das Bundesgericht immer nur Fälle zu entscheiden, in welchen eine einzige Rechtsschrift eingereicht wurde, die entweder als Nichtigkeitsbeschwerde bzw. als eidgenössische Nichtigkeitsbeschwerde und staatsrechtliche Beschwerde bezeichnet wurde oder bei welcher dem Gericht zunächst die Frage zur Prüfung vorgelegt wurde, als welches Rechtsmittel die Eingabe entgegengenommen werden könne. In diesen Fällen rechtfertigte es sich, die Eingabe als Nichtigkeitsbeschwerde an die Hand zu nehmen und auf die subsidiäre staatsrechtliche Beschwerde nicht einzutreten. Da das vorliegend zu behandelnde Vorgehen demgegenüber klarerweise als unzulässige Umgehung der vor E. 2a dargelegten Rechtsprechung bezeichnet werden muss, kann weder auf die Nichtigkeitsbeschwerde noch auf die staatsrechtliche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